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6AF64" w14:textId="26EA2E83" w:rsidR="00494986" w:rsidRPr="00494986" w:rsidRDefault="00494986" w:rsidP="00413A14">
      <w:pPr>
        <w:pStyle w:val="ListParagraph"/>
        <w:numPr>
          <w:ilvl w:val="0"/>
          <w:numId w:val="1"/>
        </w:numPr>
        <w:tabs>
          <w:tab w:val="left" w:pos="892"/>
        </w:tabs>
        <w:spacing w:before="1"/>
        <w:ind w:left="357" w:right="227" w:hanging="357"/>
      </w:pPr>
      <w:bookmarkStart w:id="0" w:name="_GoBack"/>
      <w:bookmarkEnd w:id="0"/>
      <w:r w:rsidRPr="00494986">
        <w:t xml:space="preserve">On 30 October 1988, World Expo ‘88 </w:t>
      </w:r>
      <w:r w:rsidR="00E073E9">
        <w:t>ended</w:t>
      </w:r>
      <w:r>
        <w:t xml:space="preserve"> and in 1989</w:t>
      </w:r>
      <w:r w:rsidRPr="00494986">
        <w:t xml:space="preserve"> the </w:t>
      </w:r>
      <w:r>
        <w:rPr>
          <w:i/>
        </w:rPr>
        <w:t xml:space="preserve">South Bank Corporation Act 1989 </w:t>
      </w:r>
      <w:r>
        <w:t xml:space="preserve">(the Act) </w:t>
      </w:r>
      <w:r w:rsidR="00A45BB4">
        <w:t>established</w:t>
      </w:r>
      <w:r w:rsidRPr="00494986">
        <w:t xml:space="preserve"> a statutory development authority</w:t>
      </w:r>
      <w:r w:rsidR="00A45BB4">
        <w:t xml:space="preserve"> to </w:t>
      </w:r>
      <w:r w:rsidR="001B13D3">
        <w:t>facilitate and control the development of South Bank.</w:t>
      </w:r>
      <w:r w:rsidRPr="00494986">
        <w:t xml:space="preserve"> </w:t>
      </w:r>
    </w:p>
    <w:p w14:paraId="16D4D09C" w14:textId="67B8A6E8" w:rsidR="004156B9" w:rsidRDefault="001B13D3" w:rsidP="00413A14">
      <w:pPr>
        <w:pStyle w:val="ListParagraph"/>
        <w:numPr>
          <w:ilvl w:val="0"/>
          <w:numId w:val="1"/>
        </w:numPr>
        <w:tabs>
          <w:tab w:val="left" w:pos="892"/>
        </w:tabs>
        <w:spacing w:before="240"/>
        <w:ind w:left="357" w:right="227" w:hanging="357"/>
      </w:pPr>
      <w:r>
        <w:t xml:space="preserve">The principal functions of </w:t>
      </w:r>
      <w:r w:rsidR="00B90C68">
        <w:t>the</w:t>
      </w:r>
      <w:r>
        <w:t xml:space="preserve"> </w:t>
      </w:r>
      <w:r w:rsidR="0029590F">
        <w:t>South Bank Corporation are to promote, facilitate, carry</w:t>
      </w:r>
      <w:r w:rsidR="0029590F">
        <w:rPr>
          <w:spacing w:val="-8"/>
        </w:rPr>
        <w:t xml:space="preserve"> </w:t>
      </w:r>
      <w:r w:rsidR="0029590F">
        <w:t>out</w:t>
      </w:r>
      <w:r w:rsidR="0029590F">
        <w:rPr>
          <w:spacing w:val="-5"/>
        </w:rPr>
        <w:t xml:space="preserve"> </w:t>
      </w:r>
      <w:r w:rsidR="0029590F">
        <w:t>and</w:t>
      </w:r>
      <w:r w:rsidR="0029590F">
        <w:rPr>
          <w:spacing w:val="-8"/>
        </w:rPr>
        <w:t xml:space="preserve"> </w:t>
      </w:r>
      <w:r w:rsidR="0029590F">
        <w:t>control</w:t>
      </w:r>
      <w:r w:rsidR="0029590F">
        <w:rPr>
          <w:spacing w:val="-7"/>
        </w:rPr>
        <w:t xml:space="preserve"> </w:t>
      </w:r>
      <w:r w:rsidR="0029590F">
        <w:t>development</w:t>
      </w:r>
      <w:r w:rsidR="0029590F">
        <w:rPr>
          <w:spacing w:val="-7"/>
        </w:rPr>
        <w:t xml:space="preserve"> </w:t>
      </w:r>
      <w:r w:rsidR="0029590F">
        <w:t>within</w:t>
      </w:r>
      <w:r w:rsidR="0029590F">
        <w:rPr>
          <w:spacing w:val="-6"/>
        </w:rPr>
        <w:t xml:space="preserve"> </w:t>
      </w:r>
      <w:r w:rsidR="0029590F">
        <w:t>the</w:t>
      </w:r>
      <w:r w:rsidR="0029590F">
        <w:rPr>
          <w:spacing w:val="-6"/>
        </w:rPr>
        <w:t xml:space="preserve"> </w:t>
      </w:r>
      <w:r w:rsidR="0029590F">
        <w:t>South</w:t>
      </w:r>
      <w:r w:rsidR="0029590F">
        <w:rPr>
          <w:spacing w:val="-6"/>
        </w:rPr>
        <w:t xml:space="preserve"> </w:t>
      </w:r>
      <w:r w:rsidR="0029590F">
        <w:t>Bank</w:t>
      </w:r>
      <w:r w:rsidR="0029590F">
        <w:rPr>
          <w:spacing w:val="-5"/>
        </w:rPr>
        <w:t xml:space="preserve"> </w:t>
      </w:r>
      <w:r w:rsidR="0029590F">
        <w:t>corporation</w:t>
      </w:r>
      <w:r w:rsidR="0029590F">
        <w:rPr>
          <w:spacing w:val="-6"/>
        </w:rPr>
        <w:t xml:space="preserve"> </w:t>
      </w:r>
      <w:r w:rsidR="0029590F">
        <w:t>area,</w:t>
      </w:r>
      <w:r w:rsidR="0029590F">
        <w:rPr>
          <w:spacing w:val="-7"/>
        </w:rPr>
        <w:t xml:space="preserve"> </w:t>
      </w:r>
      <w:r w:rsidR="0029590F">
        <w:t>includ</w:t>
      </w:r>
      <w:r w:rsidR="0047697D">
        <w:t>ing</w:t>
      </w:r>
      <w:r w:rsidR="0029590F">
        <w:t xml:space="preserve"> providing</w:t>
      </w:r>
      <w:r w:rsidR="0029590F">
        <w:rPr>
          <w:spacing w:val="-15"/>
        </w:rPr>
        <w:t xml:space="preserve"> </w:t>
      </w:r>
      <w:r w:rsidR="0029590F">
        <w:t>for</w:t>
      </w:r>
      <w:r w:rsidR="0029590F">
        <w:rPr>
          <w:spacing w:val="-16"/>
        </w:rPr>
        <w:t xml:space="preserve"> </w:t>
      </w:r>
      <w:r w:rsidR="0029590F">
        <w:t>a</w:t>
      </w:r>
      <w:r w:rsidR="0029590F">
        <w:rPr>
          <w:spacing w:val="-15"/>
        </w:rPr>
        <w:t xml:space="preserve"> </w:t>
      </w:r>
      <w:r w:rsidR="0029590F">
        <w:t>diverse</w:t>
      </w:r>
      <w:r w:rsidR="0029590F">
        <w:rPr>
          <w:spacing w:val="-17"/>
        </w:rPr>
        <w:t xml:space="preserve"> </w:t>
      </w:r>
      <w:r w:rsidR="0029590F">
        <w:t>range</w:t>
      </w:r>
      <w:r w:rsidR="0029590F">
        <w:rPr>
          <w:spacing w:val="-17"/>
        </w:rPr>
        <w:t xml:space="preserve"> </w:t>
      </w:r>
      <w:r w:rsidR="0029590F">
        <w:t>of</w:t>
      </w:r>
      <w:r w:rsidR="0029590F">
        <w:rPr>
          <w:spacing w:val="-13"/>
        </w:rPr>
        <w:t xml:space="preserve"> </w:t>
      </w:r>
      <w:r w:rsidR="0029590F">
        <w:t>recreational,</w:t>
      </w:r>
      <w:r w:rsidR="0029590F">
        <w:rPr>
          <w:spacing w:val="-16"/>
        </w:rPr>
        <w:t xml:space="preserve"> </w:t>
      </w:r>
      <w:r w:rsidR="0029590F">
        <w:t>cultural</w:t>
      </w:r>
      <w:r w:rsidR="0029590F">
        <w:rPr>
          <w:spacing w:val="-15"/>
        </w:rPr>
        <w:t xml:space="preserve"> </w:t>
      </w:r>
      <w:r w:rsidR="0029590F">
        <w:t>and</w:t>
      </w:r>
      <w:r w:rsidR="0029590F">
        <w:rPr>
          <w:spacing w:val="-15"/>
        </w:rPr>
        <w:t xml:space="preserve"> </w:t>
      </w:r>
      <w:r w:rsidR="0029590F">
        <w:t>educational</w:t>
      </w:r>
      <w:r w:rsidR="0029590F">
        <w:rPr>
          <w:spacing w:val="-15"/>
        </w:rPr>
        <w:t xml:space="preserve"> </w:t>
      </w:r>
      <w:r w:rsidR="0029590F">
        <w:t>pursuits</w:t>
      </w:r>
      <w:r w:rsidR="0029590F">
        <w:rPr>
          <w:spacing w:val="-17"/>
        </w:rPr>
        <w:t xml:space="preserve"> </w:t>
      </w:r>
      <w:r w:rsidR="0029590F">
        <w:t>for</w:t>
      </w:r>
      <w:r w:rsidR="0029590F">
        <w:rPr>
          <w:spacing w:val="-16"/>
        </w:rPr>
        <w:t xml:space="preserve"> </w:t>
      </w:r>
      <w:r w:rsidR="0029590F">
        <w:t>visitors.</w:t>
      </w:r>
    </w:p>
    <w:p w14:paraId="16D4D09E" w14:textId="04AEC436" w:rsidR="004156B9" w:rsidRDefault="0029590F" w:rsidP="00413A14">
      <w:pPr>
        <w:pStyle w:val="ListParagraph"/>
        <w:numPr>
          <w:ilvl w:val="0"/>
          <w:numId w:val="1"/>
        </w:numPr>
        <w:tabs>
          <w:tab w:val="left" w:pos="892"/>
        </w:tabs>
        <w:spacing w:before="240"/>
        <w:ind w:left="357" w:right="227" w:hanging="357"/>
      </w:pPr>
      <w:r>
        <w:t xml:space="preserve">In accordance with section 25 of the Act, </w:t>
      </w:r>
      <w:r w:rsidR="0047697D">
        <w:t>the South Bank Corporation</w:t>
      </w:r>
      <w:r w:rsidR="0047697D" w:rsidDel="0047697D">
        <w:t xml:space="preserve"> </w:t>
      </w:r>
      <w:r w:rsidR="0047697D">
        <w:t xml:space="preserve">is </w:t>
      </w:r>
      <w:r>
        <w:t>able to develop ‘plans as may be necessary in relation to the corporation area in order to fulfil its objects’.</w:t>
      </w:r>
      <w:r w:rsidR="001F1644">
        <w:t xml:space="preserve"> </w:t>
      </w:r>
      <w:r w:rsidR="001F1644" w:rsidRPr="001F1644">
        <w:t>Two previous master plans have been prepared for South Bank, the first in 1989 and the second in 1997. The 1997 master plan introduced important features which are now distinctively associated with South Bank, such as the Arbour.</w:t>
      </w:r>
    </w:p>
    <w:p w14:paraId="16D4D0A0" w14:textId="77777777" w:rsidR="004156B9" w:rsidRDefault="0029590F" w:rsidP="00413A14">
      <w:pPr>
        <w:pStyle w:val="ListParagraph"/>
        <w:numPr>
          <w:ilvl w:val="0"/>
          <w:numId w:val="1"/>
        </w:numPr>
        <w:tabs>
          <w:tab w:val="left" w:pos="892"/>
        </w:tabs>
        <w:spacing w:before="240"/>
        <w:ind w:left="357" w:right="227" w:hanging="357"/>
      </w:pPr>
      <w:r>
        <w:rPr>
          <w:u w:val="single"/>
        </w:rPr>
        <w:t>Cabinet endorsed</w:t>
      </w:r>
      <w:r>
        <w:t xml:space="preserve"> that the South Bank Corporation prepare a new master plan for the South Bank corporation</w:t>
      </w:r>
      <w:r>
        <w:rPr>
          <w:spacing w:val="-2"/>
        </w:rPr>
        <w:t xml:space="preserve"> </w:t>
      </w:r>
      <w:r>
        <w:t>area.</w:t>
      </w:r>
    </w:p>
    <w:p w14:paraId="16D4D0A2" w14:textId="77777777" w:rsidR="004156B9" w:rsidRDefault="0029590F" w:rsidP="0027661F">
      <w:pPr>
        <w:pStyle w:val="ListParagraph"/>
        <w:numPr>
          <w:ilvl w:val="0"/>
          <w:numId w:val="1"/>
        </w:numPr>
        <w:spacing w:before="360"/>
        <w:ind w:left="357" w:right="227" w:hanging="357"/>
        <w:rPr>
          <w:i/>
        </w:rPr>
      </w:pPr>
      <w:r>
        <w:rPr>
          <w:i/>
          <w:u w:val="single"/>
        </w:rPr>
        <w:t>Attachments</w:t>
      </w:r>
    </w:p>
    <w:p w14:paraId="16D4D0A3" w14:textId="77777777" w:rsidR="004156B9" w:rsidRDefault="0029590F" w:rsidP="0027661F">
      <w:pPr>
        <w:pStyle w:val="ListParagraph"/>
        <w:numPr>
          <w:ilvl w:val="1"/>
          <w:numId w:val="2"/>
        </w:numPr>
        <w:tabs>
          <w:tab w:val="left" w:pos="1457"/>
          <w:tab w:val="left" w:pos="1458"/>
        </w:tabs>
        <w:spacing w:before="120"/>
        <w:ind w:left="714" w:hanging="357"/>
        <w:jc w:val="left"/>
      </w:pPr>
      <w:r>
        <w:t>Nil.</w:t>
      </w:r>
    </w:p>
    <w:sectPr w:rsidR="004156B9" w:rsidSect="008D3997">
      <w:headerReference w:type="default" r:id="rId7"/>
      <w:type w:val="continuous"/>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BD27E" w14:textId="77777777" w:rsidR="00D80058" w:rsidRDefault="00D80058" w:rsidP="002032C6">
      <w:r>
        <w:separator/>
      </w:r>
    </w:p>
  </w:endnote>
  <w:endnote w:type="continuationSeparator" w:id="0">
    <w:p w14:paraId="46AD8F36" w14:textId="77777777" w:rsidR="00D80058" w:rsidRDefault="00D80058" w:rsidP="0020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A9378" w14:textId="77777777" w:rsidR="00D80058" w:rsidRDefault="00D80058" w:rsidP="002032C6">
      <w:r>
        <w:separator/>
      </w:r>
    </w:p>
  </w:footnote>
  <w:footnote w:type="continuationSeparator" w:id="0">
    <w:p w14:paraId="4609F654" w14:textId="77777777" w:rsidR="00D80058" w:rsidRDefault="00D80058" w:rsidP="00203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7FA8" w14:textId="77777777" w:rsidR="002032C6" w:rsidRPr="00937A4A" w:rsidRDefault="002032C6" w:rsidP="002032C6">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79573AA7" w14:textId="77777777" w:rsidR="002032C6" w:rsidRPr="00937A4A" w:rsidRDefault="002032C6" w:rsidP="002032C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22721BB8" w14:textId="77777777" w:rsidR="002032C6" w:rsidRPr="00937A4A" w:rsidRDefault="002032C6" w:rsidP="002032C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Pr>
        <w:b/>
        <w:lang w:eastAsia="en-US"/>
      </w:rPr>
      <w:t>October 2018</w:t>
    </w:r>
  </w:p>
  <w:p w14:paraId="0E9E2FD9" w14:textId="77777777" w:rsidR="002032C6" w:rsidRDefault="002032C6" w:rsidP="002032C6">
    <w:pPr>
      <w:pStyle w:val="Header"/>
      <w:spacing w:before="120"/>
      <w:rPr>
        <w:rFonts w:ascii="Arial" w:hAnsi="Arial" w:cs="Arial"/>
        <w:b/>
        <w:sz w:val="22"/>
        <w:szCs w:val="22"/>
        <w:u w:val="single"/>
      </w:rPr>
    </w:pPr>
    <w:r>
      <w:rPr>
        <w:rFonts w:ascii="Arial" w:hAnsi="Arial" w:cs="Arial"/>
        <w:b/>
        <w:sz w:val="22"/>
        <w:szCs w:val="22"/>
        <w:u w:val="single"/>
      </w:rPr>
      <w:t>Preparation of a new South Bank master plan</w:t>
    </w:r>
  </w:p>
  <w:p w14:paraId="659E4EAD" w14:textId="77777777" w:rsidR="002032C6" w:rsidRDefault="002032C6" w:rsidP="002032C6">
    <w:pPr>
      <w:pStyle w:val="Header"/>
      <w:spacing w:before="120"/>
      <w:rPr>
        <w:rFonts w:ascii="Arial" w:hAnsi="Arial" w:cs="Arial"/>
        <w:b/>
        <w:sz w:val="22"/>
        <w:szCs w:val="22"/>
        <w:u w:val="single"/>
      </w:rPr>
    </w:pPr>
    <w:r>
      <w:rPr>
        <w:rFonts w:ascii="Arial" w:hAnsi="Arial" w:cs="Arial"/>
        <w:b/>
        <w:sz w:val="22"/>
        <w:szCs w:val="22"/>
        <w:u w:val="single"/>
      </w:rPr>
      <w:t>Minister for State Development, Manufacturing, Infrastructure and Planning</w:t>
    </w:r>
  </w:p>
  <w:p w14:paraId="053D418E" w14:textId="77777777" w:rsidR="002032C6" w:rsidRDefault="002032C6" w:rsidP="002032C6">
    <w:pPr>
      <w:pStyle w:val="Header"/>
      <w:pBdr>
        <w:bottom w:val="single" w:sz="4" w:space="1" w:color="auto"/>
      </w:pBdr>
    </w:pPr>
  </w:p>
  <w:p w14:paraId="1A089DFC" w14:textId="77777777" w:rsidR="002032C6" w:rsidRPr="002032C6" w:rsidRDefault="002032C6" w:rsidP="002032C6">
    <w:pPr>
      <w:pStyle w:val="BodyText"/>
      <w:spacing w:before="8"/>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C5C36"/>
    <w:multiLevelType w:val="hybridMultilevel"/>
    <w:tmpl w:val="6994BCF0"/>
    <w:lvl w:ilvl="0" w:tplc="BB44B54C">
      <w:start w:val="1"/>
      <w:numFmt w:val="decimal"/>
      <w:lvlText w:val="%1."/>
      <w:lvlJc w:val="left"/>
      <w:pPr>
        <w:ind w:left="891" w:hanging="567"/>
      </w:pPr>
      <w:rPr>
        <w:rFonts w:ascii="Arial" w:eastAsia="Arial" w:hAnsi="Arial" w:cs="Arial" w:hint="default"/>
        <w:spacing w:val="-1"/>
        <w:w w:val="100"/>
        <w:sz w:val="22"/>
        <w:szCs w:val="22"/>
        <w:lang w:val="en-AU" w:eastAsia="en-AU" w:bidi="en-AU"/>
      </w:rPr>
    </w:lvl>
    <w:lvl w:ilvl="1" w:tplc="C8BC5122">
      <w:numFmt w:val="bullet"/>
      <w:lvlText w:val=""/>
      <w:lvlJc w:val="left"/>
      <w:pPr>
        <w:ind w:left="1457" w:hanging="567"/>
      </w:pPr>
      <w:rPr>
        <w:rFonts w:ascii="Symbol" w:eastAsia="Symbol" w:hAnsi="Symbol" w:cs="Symbol" w:hint="default"/>
        <w:w w:val="100"/>
        <w:sz w:val="22"/>
        <w:szCs w:val="22"/>
        <w:lang w:val="en-AU" w:eastAsia="en-AU" w:bidi="en-AU"/>
      </w:rPr>
    </w:lvl>
    <w:lvl w:ilvl="2" w:tplc="E7E8717A">
      <w:numFmt w:val="bullet"/>
      <w:lvlText w:val="•"/>
      <w:lvlJc w:val="left"/>
      <w:pPr>
        <w:ind w:left="2367" w:hanging="567"/>
      </w:pPr>
      <w:rPr>
        <w:rFonts w:hint="default"/>
        <w:lang w:val="en-AU" w:eastAsia="en-AU" w:bidi="en-AU"/>
      </w:rPr>
    </w:lvl>
    <w:lvl w:ilvl="3" w:tplc="DBD05AAE">
      <w:numFmt w:val="bullet"/>
      <w:lvlText w:val="•"/>
      <w:lvlJc w:val="left"/>
      <w:pPr>
        <w:ind w:left="3274" w:hanging="567"/>
      </w:pPr>
      <w:rPr>
        <w:rFonts w:hint="default"/>
        <w:lang w:val="en-AU" w:eastAsia="en-AU" w:bidi="en-AU"/>
      </w:rPr>
    </w:lvl>
    <w:lvl w:ilvl="4" w:tplc="33CA12B6">
      <w:numFmt w:val="bullet"/>
      <w:lvlText w:val="•"/>
      <w:lvlJc w:val="left"/>
      <w:pPr>
        <w:ind w:left="4182" w:hanging="567"/>
      </w:pPr>
      <w:rPr>
        <w:rFonts w:hint="default"/>
        <w:lang w:val="en-AU" w:eastAsia="en-AU" w:bidi="en-AU"/>
      </w:rPr>
    </w:lvl>
    <w:lvl w:ilvl="5" w:tplc="2EB2E07C">
      <w:numFmt w:val="bullet"/>
      <w:lvlText w:val="•"/>
      <w:lvlJc w:val="left"/>
      <w:pPr>
        <w:ind w:left="5089" w:hanging="567"/>
      </w:pPr>
      <w:rPr>
        <w:rFonts w:hint="default"/>
        <w:lang w:val="en-AU" w:eastAsia="en-AU" w:bidi="en-AU"/>
      </w:rPr>
    </w:lvl>
    <w:lvl w:ilvl="6" w:tplc="BA6C7436">
      <w:numFmt w:val="bullet"/>
      <w:lvlText w:val="•"/>
      <w:lvlJc w:val="left"/>
      <w:pPr>
        <w:ind w:left="5996" w:hanging="567"/>
      </w:pPr>
      <w:rPr>
        <w:rFonts w:hint="default"/>
        <w:lang w:val="en-AU" w:eastAsia="en-AU" w:bidi="en-AU"/>
      </w:rPr>
    </w:lvl>
    <w:lvl w:ilvl="7" w:tplc="AD3C7D46">
      <w:numFmt w:val="bullet"/>
      <w:lvlText w:val="•"/>
      <w:lvlJc w:val="left"/>
      <w:pPr>
        <w:ind w:left="6904" w:hanging="567"/>
      </w:pPr>
      <w:rPr>
        <w:rFonts w:hint="default"/>
        <w:lang w:val="en-AU" w:eastAsia="en-AU" w:bidi="en-AU"/>
      </w:rPr>
    </w:lvl>
    <w:lvl w:ilvl="8" w:tplc="48D6C806">
      <w:numFmt w:val="bullet"/>
      <w:lvlText w:val="•"/>
      <w:lvlJc w:val="left"/>
      <w:pPr>
        <w:ind w:left="7811" w:hanging="567"/>
      </w:pPr>
      <w:rPr>
        <w:rFonts w:hint="default"/>
        <w:lang w:val="en-AU" w:eastAsia="en-AU" w:bidi="en-AU"/>
      </w:rPr>
    </w:lvl>
  </w:abstractNum>
  <w:abstractNum w:abstractNumId="1" w15:restartNumberingAfterBreak="0">
    <w:nsid w:val="7D5152FB"/>
    <w:multiLevelType w:val="hybridMultilevel"/>
    <w:tmpl w:val="6994BCF0"/>
    <w:lvl w:ilvl="0" w:tplc="BB44B54C">
      <w:start w:val="1"/>
      <w:numFmt w:val="decimal"/>
      <w:lvlText w:val="%1."/>
      <w:lvlJc w:val="left"/>
      <w:pPr>
        <w:ind w:left="891" w:hanging="567"/>
      </w:pPr>
      <w:rPr>
        <w:rFonts w:ascii="Arial" w:eastAsia="Arial" w:hAnsi="Arial" w:cs="Arial" w:hint="default"/>
        <w:spacing w:val="-1"/>
        <w:w w:val="100"/>
        <w:sz w:val="22"/>
        <w:szCs w:val="22"/>
        <w:lang w:val="en-AU" w:eastAsia="en-AU" w:bidi="en-AU"/>
      </w:rPr>
    </w:lvl>
    <w:lvl w:ilvl="1" w:tplc="C8BC5122">
      <w:numFmt w:val="bullet"/>
      <w:lvlText w:val=""/>
      <w:lvlJc w:val="left"/>
      <w:pPr>
        <w:ind w:left="1457" w:hanging="567"/>
      </w:pPr>
      <w:rPr>
        <w:rFonts w:ascii="Symbol" w:eastAsia="Symbol" w:hAnsi="Symbol" w:cs="Symbol" w:hint="default"/>
        <w:w w:val="100"/>
        <w:sz w:val="22"/>
        <w:szCs w:val="22"/>
        <w:lang w:val="en-AU" w:eastAsia="en-AU" w:bidi="en-AU"/>
      </w:rPr>
    </w:lvl>
    <w:lvl w:ilvl="2" w:tplc="E7E8717A">
      <w:numFmt w:val="bullet"/>
      <w:lvlText w:val="•"/>
      <w:lvlJc w:val="left"/>
      <w:pPr>
        <w:ind w:left="2367" w:hanging="567"/>
      </w:pPr>
      <w:rPr>
        <w:rFonts w:hint="default"/>
        <w:lang w:val="en-AU" w:eastAsia="en-AU" w:bidi="en-AU"/>
      </w:rPr>
    </w:lvl>
    <w:lvl w:ilvl="3" w:tplc="DBD05AAE">
      <w:numFmt w:val="bullet"/>
      <w:lvlText w:val="•"/>
      <w:lvlJc w:val="left"/>
      <w:pPr>
        <w:ind w:left="3274" w:hanging="567"/>
      </w:pPr>
      <w:rPr>
        <w:rFonts w:hint="default"/>
        <w:lang w:val="en-AU" w:eastAsia="en-AU" w:bidi="en-AU"/>
      </w:rPr>
    </w:lvl>
    <w:lvl w:ilvl="4" w:tplc="33CA12B6">
      <w:numFmt w:val="bullet"/>
      <w:lvlText w:val="•"/>
      <w:lvlJc w:val="left"/>
      <w:pPr>
        <w:ind w:left="4182" w:hanging="567"/>
      </w:pPr>
      <w:rPr>
        <w:rFonts w:hint="default"/>
        <w:lang w:val="en-AU" w:eastAsia="en-AU" w:bidi="en-AU"/>
      </w:rPr>
    </w:lvl>
    <w:lvl w:ilvl="5" w:tplc="2EB2E07C">
      <w:numFmt w:val="bullet"/>
      <w:lvlText w:val="•"/>
      <w:lvlJc w:val="left"/>
      <w:pPr>
        <w:ind w:left="5089" w:hanging="567"/>
      </w:pPr>
      <w:rPr>
        <w:rFonts w:hint="default"/>
        <w:lang w:val="en-AU" w:eastAsia="en-AU" w:bidi="en-AU"/>
      </w:rPr>
    </w:lvl>
    <w:lvl w:ilvl="6" w:tplc="BA6C7436">
      <w:numFmt w:val="bullet"/>
      <w:lvlText w:val="•"/>
      <w:lvlJc w:val="left"/>
      <w:pPr>
        <w:ind w:left="5996" w:hanging="567"/>
      </w:pPr>
      <w:rPr>
        <w:rFonts w:hint="default"/>
        <w:lang w:val="en-AU" w:eastAsia="en-AU" w:bidi="en-AU"/>
      </w:rPr>
    </w:lvl>
    <w:lvl w:ilvl="7" w:tplc="AD3C7D46">
      <w:numFmt w:val="bullet"/>
      <w:lvlText w:val="•"/>
      <w:lvlJc w:val="left"/>
      <w:pPr>
        <w:ind w:left="6904" w:hanging="567"/>
      </w:pPr>
      <w:rPr>
        <w:rFonts w:hint="default"/>
        <w:lang w:val="en-AU" w:eastAsia="en-AU" w:bidi="en-AU"/>
      </w:rPr>
    </w:lvl>
    <w:lvl w:ilvl="8" w:tplc="48D6C806">
      <w:numFmt w:val="bullet"/>
      <w:lvlText w:val="•"/>
      <w:lvlJc w:val="left"/>
      <w:pPr>
        <w:ind w:left="7811" w:hanging="567"/>
      </w:pPr>
      <w:rPr>
        <w:rFonts w:hint="default"/>
        <w:lang w:val="en-AU" w:eastAsia="en-AU" w:bidi="en-A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B9"/>
    <w:rsid w:val="00033895"/>
    <w:rsid w:val="001B13D3"/>
    <w:rsid w:val="001F1644"/>
    <w:rsid w:val="002032C6"/>
    <w:rsid w:val="0024179A"/>
    <w:rsid w:val="0027661F"/>
    <w:rsid w:val="0029590F"/>
    <w:rsid w:val="002D7BFE"/>
    <w:rsid w:val="00413A14"/>
    <w:rsid w:val="004156B9"/>
    <w:rsid w:val="0047697D"/>
    <w:rsid w:val="00494986"/>
    <w:rsid w:val="00694A86"/>
    <w:rsid w:val="00733B6F"/>
    <w:rsid w:val="00817ADF"/>
    <w:rsid w:val="008D3997"/>
    <w:rsid w:val="00964BBF"/>
    <w:rsid w:val="00A45BB4"/>
    <w:rsid w:val="00AF75A2"/>
    <w:rsid w:val="00B55CC4"/>
    <w:rsid w:val="00B90C68"/>
    <w:rsid w:val="00B92DEC"/>
    <w:rsid w:val="00BF27F2"/>
    <w:rsid w:val="00D47931"/>
    <w:rsid w:val="00D80058"/>
    <w:rsid w:val="00E073E9"/>
    <w:rsid w:val="00EE6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324"/>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1"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5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90F"/>
    <w:rPr>
      <w:rFonts w:ascii="Segoe UI" w:eastAsia="Arial" w:hAnsi="Segoe UI" w:cs="Segoe UI"/>
      <w:sz w:val="18"/>
      <w:szCs w:val="18"/>
      <w:lang w:val="en-AU" w:eastAsia="en-AU" w:bidi="en-AU"/>
    </w:rPr>
  </w:style>
  <w:style w:type="paragraph" w:styleId="Header">
    <w:name w:val="header"/>
    <w:basedOn w:val="Normal"/>
    <w:link w:val="HeaderChar"/>
    <w:uiPriority w:val="99"/>
    <w:unhideWhenUsed/>
    <w:rsid w:val="00817ADF"/>
    <w:pPr>
      <w:widowControl/>
      <w:tabs>
        <w:tab w:val="center" w:pos="4513"/>
        <w:tab w:val="right" w:pos="9026"/>
      </w:tabs>
      <w:autoSpaceDE/>
      <w:autoSpaceDN/>
    </w:pPr>
    <w:rPr>
      <w:rFonts w:ascii="Times New Roman" w:eastAsia="Times New Roman" w:hAnsi="Times New Roman" w:cs="Times New Roman"/>
      <w:color w:val="000000"/>
      <w:sz w:val="24"/>
      <w:szCs w:val="20"/>
      <w:lang w:bidi="ar-SA"/>
    </w:rPr>
  </w:style>
  <w:style w:type="character" w:customStyle="1" w:styleId="HeaderChar">
    <w:name w:val="Header Char"/>
    <w:basedOn w:val="DefaultParagraphFont"/>
    <w:link w:val="Header"/>
    <w:uiPriority w:val="99"/>
    <w:rsid w:val="00817ADF"/>
    <w:rPr>
      <w:rFonts w:ascii="Times New Roman" w:eastAsia="Times New Roman" w:hAnsi="Times New Roman" w:cs="Times New Roman"/>
      <w:color w:val="000000"/>
      <w:sz w:val="24"/>
      <w:szCs w:val="20"/>
      <w:lang w:val="en-AU" w:eastAsia="en-AU"/>
    </w:rPr>
  </w:style>
  <w:style w:type="paragraph" w:styleId="Footer">
    <w:name w:val="footer"/>
    <w:basedOn w:val="Normal"/>
    <w:link w:val="FooterChar"/>
    <w:uiPriority w:val="99"/>
    <w:unhideWhenUsed/>
    <w:rsid w:val="002032C6"/>
    <w:pPr>
      <w:tabs>
        <w:tab w:val="center" w:pos="4513"/>
        <w:tab w:val="right" w:pos="9026"/>
      </w:tabs>
    </w:pPr>
  </w:style>
  <w:style w:type="character" w:customStyle="1" w:styleId="FooterChar">
    <w:name w:val="Footer Char"/>
    <w:basedOn w:val="DefaultParagraphFont"/>
    <w:link w:val="Footer"/>
    <w:uiPriority w:val="99"/>
    <w:rsid w:val="002032C6"/>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166</Words>
  <Characters>856</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Base>https://www.cabinet.qld.gov.au/documents/2018/Oct/SthBMP/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11</cp:revision>
  <dcterms:created xsi:type="dcterms:W3CDTF">2018-12-06T01:17:00Z</dcterms:created>
  <dcterms:modified xsi:type="dcterms:W3CDTF">2019-12-11T09:17:00Z</dcterms:modified>
  <cp:category>Economic_Development,Planning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Acrobat PDFMaker 15 for Word</vt:lpwstr>
  </property>
  <property fmtid="{D5CDD505-2E9C-101B-9397-08002B2CF9AE}" pid="4" name="LastSaved">
    <vt:filetime>2018-10-16T00:00:00Z</vt:filetime>
  </property>
</Properties>
</file>